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A book about A hand</w:t>
      </w:r>
      <w:r>
        <w:rPr>
          <w:b w:val="1"/>
          <w:bCs w:val="1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-1082674</wp:posOffset>
            </wp:positionH>
            <wp:positionV relativeFrom="page">
              <wp:posOffset>187209</wp:posOffset>
            </wp:positionV>
            <wp:extent cx="2152649" cy="7271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9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lang w:val="he-IL" w:bidi="he-IL"/>
        </w:rPr>
      </w:pPr>
    </w:p>
    <w:p>
      <w:pPr>
        <w:pStyle w:val="Normal.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I have fingers, ten of them</w:t>
      </w:r>
    </w:p>
    <w:p>
      <w:pPr>
        <w:pStyle w:val="Normal.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There's nothing they can't do:</w:t>
      </w:r>
    </w:p>
    <w:p>
      <w:pPr>
        <w:pStyle w:val="Normal.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They can paint and they can draw,</w:t>
      </w:r>
    </w:p>
    <w:p>
      <w:pPr>
        <w:pStyle w:val="Normal.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Beat upon the drum, too!</w:t>
      </w:r>
    </w:p>
    <w:p>
      <w:pPr>
        <w:pStyle w:val="Normal.0"/>
        <w:bidi w:val="0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>(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 have ten fingers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Rivka Davidit)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Toddlers discover their hands  as part of their journey to discover themselves and the world. They discover that they can clap their hands and play music, they can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talk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with their hands, build and play games. In the imagination games of toddlers, hands can fly and run, swim or grow leaves and branches. 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 book about A hand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invites adults and little children to participate in finger games of magic and imagination, to read and play as a shared family fun</w: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1862930</wp:posOffset>
                </wp:positionH>
                <wp:positionV relativeFrom="line">
                  <wp:posOffset>244302</wp:posOffset>
                </wp:positionV>
                <wp:extent cx="2337119" cy="142009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19" cy="1420099"/>
                        </a:xfrm>
                        <a:prstGeom prst="roundRect">
                          <a:avLst>
                            <a:gd name="adj" fmla="val 13415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u w:color="000000"/>
                                <w:rtl w:val="0"/>
                                <w:lang w:val="en-US"/>
                              </w:rPr>
                              <w:t>The game contributes to the development of toddlers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u w:color="000000"/>
                                <w:rtl w:val="1"/>
                                <w:lang w:val="he-IL" w:bidi="he-IL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u w:color="000000"/>
                                <w:rtl w:val="0"/>
                                <w:lang w:val="en-US"/>
                              </w:rPr>
                              <w:t>It enables them to learn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u w:color="000000"/>
                                <w:rtl w:val="1"/>
                                <w:lang w:val="he-IL" w:bidi="he-IL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u w:color="000000"/>
                                <w:rtl w:val="0"/>
                                <w:lang w:val="en-US"/>
                              </w:rPr>
                              <w:t>and deepen relationships with family members and friends in an enjoyable, creative manner. Initially toddlers play by mimicking adults. Gradually they develop their own imaginary games based on imagination.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84.0pt;height:111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2898">
                <v:fill angle="0fd" focus="100%" colors="50.0% #FFD58D" color="#FFDB9B" opacity="100.0%" color2="#FFD078" o:opacity2="100.0%" type="gradientUnscale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spacing w:after="160" w:line="259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u w:color="000000"/>
                          <w:rtl w:val="0"/>
                          <w:lang w:val="en-US"/>
                        </w:rPr>
                        <w:t>The game contributes to the development of toddlers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u w:color="000000"/>
                          <w:rtl w:val="1"/>
                          <w:lang w:val="he-IL" w:bidi="he-IL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u w:color="000000"/>
                          <w:rtl w:val="0"/>
                          <w:lang w:val="en-US"/>
                        </w:rPr>
                        <w:t>It enables them to learn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u w:color="000000"/>
                          <w:rtl w:val="1"/>
                          <w:lang w:val="he-IL" w:bidi="he-IL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u w:color="000000"/>
                          <w:rtl w:val="0"/>
                          <w:lang w:val="en-US"/>
                        </w:rPr>
                        <w:t>and deepen relationships with family members and friends in an enjoyable, creative manner. Initially toddlers play by mimicking adults. Gradually they develop their own imaginary games based on imagination.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tl w:val="0"/>
          <w:lang w:val="en-US"/>
        </w:rPr>
        <w:t xml:space="preserve"> activity.</w: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1527988</wp:posOffset>
                </wp:positionH>
                <wp:positionV relativeFrom="line">
                  <wp:posOffset>1441691</wp:posOffset>
                </wp:positionV>
                <wp:extent cx="936903" cy="5608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03" cy="5608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</w:rPr>
                              <w:t xml:space="preserve">and I want to play too!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120.3pt;margin-top:113.5pt;width:73.8pt;height:44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u w:color="000000"/>
                          <w:rtl w:val="0"/>
                          <w:lang w:val="en-US"/>
                        </w:rPr>
                        <w:t xml:space="preserve">and I want to play too! 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3138348</wp:posOffset>
                </wp:positionH>
                <wp:positionV relativeFrom="line">
                  <wp:posOffset>2208771</wp:posOffset>
                </wp:positionV>
                <wp:extent cx="936903" cy="5608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03" cy="5608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</w:rPr>
                              <w:t xml:space="preserve">Quack, quack, quack, I am a duck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47.1pt;margin-top:173.9pt;width:73.8pt;height:44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u w:color="000000"/>
                          <w:rtl w:val="0"/>
                          <w:lang w:val="en-US"/>
                        </w:rPr>
                        <w:t xml:space="preserve">Quack, quack, quack, I am a duck 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  <w:r>
        <w:rPr>
          <w:rtl w:val="0"/>
          <w:lang w:val="en-US"/>
        </w:rPr>
        <w:t xml:space="preserve">  </w:t>
      </w:r>
    </w:p>
    <w:p>
      <w:pPr>
        <w:pStyle w:val="Normal.0"/>
        <w:bidi w:val="0"/>
        <w:spacing w:line="360" w:lineRule="auto"/>
        <w:ind w:left="72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drawing>
          <wp:inline distT="0" distB="0" distL="0" distR="0">
            <wp:extent cx="5274310" cy="2966833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bidi w:val="0"/>
        <w:ind w:left="720" w:right="27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"http://www.splk.org.il"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www.splk.org.il</w:t>
      </w:r>
      <w:r>
        <w:rPr>
          <w:rtl w:val="0"/>
        </w:rPr>
        <w:fldChar w:fldCharType="end" w:fldLock="0"/>
      </w:r>
    </w:p>
    <w:p>
      <w:pPr>
        <w:pStyle w:val="Normal.0"/>
        <w:bidi w:val="0"/>
        <w:ind w:left="0" w:right="0" w:firstLine="0"/>
        <w:jc w:val="left"/>
        <w:rPr>
          <w:b w:val="1"/>
          <w:bCs w:val="1"/>
          <w:shd w:val="clear" w:color="auto" w:fill="ffff00"/>
          <w:rtl w:val="0"/>
        </w:rPr>
      </w:pPr>
    </w:p>
    <w:p>
      <w:pPr>
        <w:pStyle w:val="Normal.0"/>
        <w:bidi w:val="0"/>
        <w:spacing w:line="360" w:lineRule="auto"/>
        <w:ind w:left="2160" w:right="0" w:firstLine="720"/>
        <w:jc w:val="left"/>
        <w:rPr>
          <w:shd w:val="clear" w:color="auto" w:fill="ffff00"/>
          <w:rtl w:val="0"/>
        </w:rPr>
      </w:pPr>
    </w:p>
    <w:p>
      <w:pPr>
        <w:pStyle w:val="Normal.0"/>
        <w:bidi w:val="0"/>
        <w:spacing w:line="360" w:lineRule="auto"/>
        <w:ind w:left="2160" w:right="0" w:firstLine="720"/>
        <w:jc w:val="left"/>
        <w:rPr>
          <w:shd w:val="clear" w:color="auto" w:fill="ffff00"/>
          <w:rtl w:val="0"/>
        </w:rPr>
      </w:pPr>
    </w:p>
    <w:p>
      <w:pPr>
        <w:pStyle w:val="Normal.0"/>
        <w:bidi w:val="0"/>
        <w:spacing w:line="360" w:lineRule="auto"/>
        <w:ind w:left="2160" w:right="0" w:firstLine="720"/>
        <w:jc w:val="left"/>
        <w:rPr>
          <w:shd w:val="clear" w:color="auto" w:fill="ffff00"/>
          <w:rtl w:val="0"/>
        </w:rPr>
      </w:pPr>
    </w:p>
    <w:p>
      <w:pPr>
        <w:pStyle w:val="Normal.0"/>
        <w:bidi w:val="0"/>
        <w:spacing w:line="360" w:lineRule="auto"/>
        <w:ind w:left="2160" w:right="0" w:firstLine="72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 xml:space="preserve">Reading together </w:t>
      </w:r>
      <w:r>
        <w:rPr>
          <w:b w:val="1"/>
          <w:bCs w:val="1"/>
          <w:rtl w:val="0"/>
          <w:lang w:val="en-US"/>
        </w:rPr>
        <w:t>–</w:t>
      </w:r>
      <w:r>
        <w:rPr>
          <w:b w:val="1"/>
          <w:bCs w:val="1"/>
          <w:rtl w:val="0"/>
          <w:lang w:val="en-US"/>
        </w:rPr>
        <w:t>Experiencing together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 xml:space="preserve">Reading together 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While reading, it is useful to include the hands on each page, follow their path and imitating their movements. Parents and toddlers can do this together: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walk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the hand on fingertips, make the hand jump, knock on the door in the picture, and be active readers throughout the entire book.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Hand Games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so much fun to play with hands!  Each and every one in turn makes a certain movement, and the rest of the participants imitate it. You can clap your hands, wave hello or goodbye, signal for "quiet" or fly!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A Family of Hands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Who has a small hand? Who has a large hand? Each family member is invited to place their hand on a sheet of paper.  You, the parent, will draw the contours of the hands, and the toddlers will decorate and paint.  The picture of all the hands can be kept as a memento, and you can also repeat the activity year after year and see what has changed.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Singing Hands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You can sing songs accompanied by hand movements, such as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 have ten fingers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or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My hat has three corners.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It's a good idea to add hand gestures to your singing, and you can add finger movements to other favorite songs. Have fun! 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"https://bit.ly/34eLImN"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QR </w:t>
      </w:r>
      <w:r>
        <w:rPr>
          <w:rStyle w:val="Hyperlink.1"/>
          <w:rtl w:val="0"/>
          <w:lang w:val="en-US"/>
        </w:rPr>
        <w:t xml:space="preserve">– </w:t>
      </w:r>
      <w:r>
        <w:rPr>
          <w:rtl w:val="0"/>
        </w:rPr>
        <w:fldChar w:fldCharType="end" w:fldLock="0"/>
      </w:r>
      <w:r>
        <w:rPr>
          <w:rtl w:val="0"/>
          <w:lang w:val="en-US"/>
        </w:rPr>
        <w:t>Story-game using fingers is waiting for you when you scan the code. Take a look and enjoy!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"https://bit.ly/3JiuOqr"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Pinterest </w:t>
      </w:r>
      <w:r>
        <w:rPr>
          <w:rStyle w:val="Hyperlink.1"/>
          <w:rtl w:val="0"/>
          <w:lang w:val="en-US"/>
        </w:rPr>
        <w:t>–</w:t>
      </w:r>
      <w:r>
        <w:rPr>
          <w:rtl w:val="0"/>
        </w:rPr>
        <w:fldChar w:fldCharType="end" w:fldLock="0"/>
      </w:r>
      <w:r>
        <w:rPr>
          <w:rtl w:val="0"/>
          <w:lang w:val="en-US"/>
        </w:rPr>
        <w:t xml:space="preserve"> Crafts, songs, and activities in the Sifriyat Pijama's Pinterest page.</w:t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character" w:styleId="Hyperlink.1">
    <w:name w:val="Hyperlink.1"/>
    <w:basedOn w:val="Link"/>
    <w:next w:val="Hyperlink.1"/>
    <w:rPr>
      <w:b w:val="1"/>
      <w:bCs w:val="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